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center"/>
        <w:rPr/>
      </w:pPr>
      <w:r w:rsidDel="00000000" w:rsidR="00000000" w:rsidRPr="00000000">
        <w:rPr>
          <w:rFonts w:ascii="Montserrat" w:cs="Montserrat" w:eastAsia="Montserrat" w:hAnsi="Montserrat"/>
        </w:rPr>
        <w:drawing>
          <wp:inline distB="114300" distT="114300" distL="114300" distR="114300">
            <wp:extent cx="2843213" cy="2843213"/>
            <wp:effectExtent b="0" l="0" r="0" t="0"/>
            <wp:docPr id="3"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2843213" cy="284321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jc w:val="center"/>
        <w:rPr>
          <w:rFonts w:ascii="Montserrat" w:cs="Montserrat" w:eastAsia="Montserrat" w:hAnsi="Montserrat"/>
        </w:rPr>
      </w:pPr>
      <w:r w:rsidDel="00000000" w:rsidR="00000000" w:rsidRPr="00000000">
        <w:rPr>
          <w:rFonts w:ascii="Montserrat" w:cs="Montserrat" w:eastAsia="Montserrat" w:hAnsi="Montserrat"/>
          <w:rtl w:val="0"/>
        </w:rPr>
        <w:t xml:space="preserve">Guide de configuration sécurisée</w:t>
      </w:r>
    </w:p>
    <w:p w:rsidR="00000000" w:rsidDel="00000000" w:rsidP="00000000" w:rsidRDefault="00000000" w:rsidRPr="00000000" w14:paraId="00000003">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4">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5">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6">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7">
      <w:pPr>
        <w:pStyle w:val="Heading3"/>
        <w:keepNext w:val="0"/>
        <w:keepLines w:val="0"/>
        <w:widowControl w:val="0"/>
        <w:spacing w:after="80" w:before="280" w:line="276" w:lineRule="auto"/>
        <w:rPr>
          <w:rFonts w:ascii="Montserrat" w:cs="Montserrat" w:eastAsia="Montserrat" w:hAnsi="Montserrat"/>
          <w:sz w:val="26"/>
          <w:szCs w:val="26"/>
        </w:rPr>
      </w:pPr>
      <w:bookmarkStart w:colFirst="0" w:colLast="0" w:name="_heading=h.30avyv3jakwt" w:id="0"/>
      <w:bookmarkEnd w:id="0"/>
      <w:r w:rsidDel="00000000" w:rsidR="00000000" w:rsidRPr="00000000">
        <w:rPr>
          <w:rFonts w:ascii="Montserrat" w:cs="Montserrat" w:eastAsia="Montserrat" w:hAnsi="Montserrat"/>
          <w:sz w:val="26"/>
          <w:szCs w:val="26"/>
          <w:rtl w:val="0"/>
        </w:rPr>
        <w:t xml:space="preserve">Objectif</w:t>
      </w:r>
    </w:p>
    <w:p w:rsidR="00000000" w:rsidDel="00000000" w:rsidP="00000000" w:rsidRDefault="00000000" w:rsidRPr="00000000" w14:paraId="00000008">
      <w:pPr>
        <w:widowControl w:val="0"/>
        <w:spacing w:after="240" w:before="240" w:line="276" w:lineRule="auto"/>
        <w:rPr>
          <w:rFonts w:ascii="Montserrat" w:cs="Montserrat" w:eastAsia="Montserrat" w:hAnsi="Montserrat"/>
        </w:rPr>
      </w:pPr>
      <w:r w:rsidDel="00000000" w:rsidR="00000000" w:rsidRPr="00000000">
        <w:rPr>
          <w:rFonts w:ascii="Montserrat" w:cs="Montserrat" w:eastAsia="Montserrat" w:hAnsi="Montserrat"/>
          <w:rtl w:val="0"/>
        </w:rPr>
        <w:t xml:space="preserve">Ce guide garantit des configurations de sécurité cohérentes et renforcées pour les actifs numériques de votre organisation. Il est conçu pour réduire les risques liés aux erreurs de configuration, aux menaces internes et aux attaques externes.</w:t>
      </w:r>
    </w:p>
    <w:p w:rsidR="00000000" w:rsidDel="00000000" w:rsidP="00000000" w:rsidRDefault="00000000" w:rsidRPr="00000000" w14:paraId="00000009">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A">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B">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C">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D">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E">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0F">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0">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1">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2">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3">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4">
      <w:pPr>
        <w:widowControl w:val="0"/>
        <w:spacing w:after="0" w:line="276"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5">
      <w:pPr>
        <w:pStyle w:val="Heading1"/>
        <w:widowControl w:val="0"/>
        <w:spacing w:after="0" w:line="276" w:lineRule="auto"/>
        <w:jc w:val="center"/>
        <w:rPr/>
      </w:pPr>
      <w:bookmarkStart w:colFirst="0" w:colLast="0" w:name="_heading=h.2n2sjts1fpn0" w:id="1"/>
      <w:bookmarkEnd w:id="1"/>
      <w:r w:rsidDel="00000000" w:rsidR="00000000" w:rsidRPr="00000000">
        <w:rPr>
          <w:rtl w:val="0"/>
        </w:rPr>
        <w:t xml:space="preserve">SECTION 1 : CONFIGURATION DE BASE DU SYSTÈME</w:t>
      </w:r>
    </w:p>
    <w:p w:rsidR="00000000" w:rsidDel="00000000" w:rsidP="00000000" w:rsidRDefault="00000000" w:rsidRPr="00000000" w14:paraId="00000016">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tbl>
      <w:tblPr>
        <w:tblStyle w:val="Table1"/>
        <w:tblpPr w:leftFromText="180" w:rightFromText="180" w:topFromText="180" w:bottomFromText="180" w:vertAnchor="text" w:horzAnchor="text" w:tblpX="0" w:tblpY="0"/>
        <w:tblW w:w="86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10"/>
        <w:gridCol w:w="2475"/>
        <w:gridCol w:w="4455"/>
        <w:tblGridChange w:id="0">
          <w:tblGrid>
            <w:gridCol w:w="1710"/>
            <w:gridCol w:w="2475"/>
            <w:gridCol w:w="4455"/>
          </w:tblGrid>
        </w:tblGridChange>
      </w:tblGrid>
      <w:tr>
        <w:trPr>
          <w:cantSplit w:val="0"/>
          <w:trHeight w:val="500" w:hRule="atLeast"/>
          <w:tblHeader w:val="0"/>
        </w:trPr>
        <w:tc>
          <w:tcPr>
            <w:vAlign w:val="center"/>
          </w:tcPr>
          <w:p w:rsidR="00000000" w:rsidDel="00000000" w:rsidP="00000000" w:rsidRDefault="00000000" w:rsidRPr="00000000" w14:paraId="00000017">
            <w:pPr>
              <w:widowControl w:val="0"/>
              <w:spacing w:after="0" w:line="276" w:lineRule="auto"/>
              <w:jc w:val="center"/>
              <w:rPr>
                <w:rFonts w:ascii="Montserrat" w:cs="Montserrat" w:eastAsia="Montserrat" w:hAnsi="Montserrat"/>
                <w:b w:val="1"/>
                <w:color w:val="4f81bd"/>
                <w:sz w:val="20"/>
                <w:szCs w:val="20"/>
              </w:rPr>
            </w:pPr>
            <w:r w:rsidDel="00000000" w:rsidR="00000000" w:rsidRPr="00000000">
              <w:rPr>
                <w:rFonts w:ascii="Montserrat" w:cs="Montserrat" w:eastAsia="Montserrat" w:hAnsi="Montserrat"/>
                <w:b w:val="1"/>
                <w:color w:val="4f81bd"/>
                <w:sz w:val="20"/>
                <w:szCs w:val="20"/>
                <w:rtl w:val="0"/>
              </w:rPr>
              <w:t xml:space="preserve">Action</w:t>
            </w:r>
          </w:p>
        </w:tc>
        <w:tc>
          <w:tcPr>
            <w:vAlign w:val="center"/>
          </w:tcPr>
          <w:p w:rsidR="00000000" w:rsidDel="00000000" w:rsidP="00000000" w:rsidRDefault="00000000" w:rsidRPr="00000000" w14:paraId="00000018">
            <w:pPr>
              <w:widowControl w:val="0"/>
              <w:spacing w:after="0" w:line="276" w:lineRule="auto"/>
              <w:jc w:val="center"/>
              <w:rPr>
                <w:rFonts w:ascii="Montserrat" w:cs="Montserrat" w:eastAsia="Montserrat" w:hAnsi="Montserrat"/>
                <w:b w:val="1"/>
                <w:color w:val="4f81bd"/>
                <w:sz w:val="20"/>
                <w:szCs w:val="20"/>
              </w:rPr>
            </w:pPr>
            <w:r w:rsidDel="00000000" w:rsidR="00000000" w:rsidRPr="00000000">
              <w:rPr>
                <w:rFonts w:ascii="Montserrat" w:cs="Montserrat" w:eastAsia="Montserrat" w:hAnsi="Montserrat"/>
                <w:b w:val="1"/>
                <w:color w:val="4f81bd"/>
                <w:sz w:val="20"/>
                <w:szCs w:val="20"/>
                <w:rtl w:val="0"/>
              </w:rPr>
              <w:t xml:space="preserve">Recommandation</w:t>
            </w:r>
          </w:p>
        </w:tc>
        <w:tc>
          <w:tcPr>
            <w:vAlign w:val="center"/>
          </w:tcPr>
          <w:p w:rsidR="00000000" w:rsidDel="00000000" w:rsidP="00000000" w:rsidRDefault="00000000" w:rsidRPr="00000000" w14:paraId="00000019">
            <w:pPr>
              <w:widowControl w:val="0"/>
              <w:spacing w:after="0" w:line="276" w:lineRule="auto"/>
              <w:jc w:val="center"/>
              <w:rPr>
                <w:rFonts w:ascii="Montserrat" w:cs="Montserrat" w:eastAsia="Montserrat" w:hAnsi="Montserrat"/>
                <w:b w:val="1"/>
                <w:color w:val="4f81bd"/>
                <w:sz w:val="20"/>
                <w:szCs w:val="20"/>
              </w:rPr>
            </w:pPr>
            <w:r w:rsidDel="00000000" w:rsidR="00000000" w:rsidRPr="00000000">
              <w:rPr>
                <w:rFonts w:ascii="Montserrat" w:cs="Montserrat" w:eastAsia="Montserrat" w:hAnsi="Montserrat"/>
                <w:b w:val="1"/>
                <w:color w:val="4f81bd"/>
                <w:sz w:val="20"/>
                <w:szCs w:val="20"/>
                <w:rtl w:val="0"/>
              </w:rPr>
              <w:t xml:space="preserve">Vérification</w:t>
            </w:r>
          </w:p>
        </w:tc>
      </w:tr>
      <w:tr>
        <w:trPr>
          <w:cantSplit w:val="0"/>
          <w:trHeight w:val="1085" w:hRule="atLeast"/>
          <w:tblHeader w:val="0"/>
        </w:trPr>
        <w:tc>
          <w:tcPr>
            <w:vAlign w:val="center"/>
          </w:tcPr>
          <w:p w:rsidR="00000000" w:rsidDel="00000000" w:rsidP="00000000" w:rsidRDefault="00000000" w:rsidRPr="00000000" w14:paraId="0000001A">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Mises à jour du système d'exploitation</w:t>
            </w:r>
          </w:p>
        </w:tc>
        <w:tc>
          <w:tcPr>
            <w:vAlign w:val="center"/>
          </w:tcPr>
          <w:p w:rsidR="00000000" w:rsidDel="00000000" w:rsidP="00000000" w:rsidRDefault="00000000" w:rsidRPr="00000000" w14:paraId="0000001B">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Activer les mises à jour automatiques</w:t>
            </w:r>
          </w:p>
        </w:tc>
        <w:tc>
          <w:tcPr>
            <w:vAlign w:val="center"/>
          </w:tcPr>
          <w:p w:rsidR="00000000" w:rsidDel="00000000" w:rsidP="00000000" w:rsidRDefault="00000000" w:rsidRPr="00000000" w14:paraId="0000001C">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Windows : Paramètres → Mise à jour et sécurité macOS : Paramètres système → Général → Mise à jour du logiciel</w:t>
            </w:r>
          </w:p>
        </w:tc>
      </w:tr>
      <w:tr>
        <w:trPr>
          <w:cantSplit w:val="0"/>
          <w:trHeight w:val="770" w:hRule="atLeast"/>
          <w:tblHeader w:val="0"/>
        </w:trPr>
        <w:tc>
          <w:tcPr>
            <w:vAlign w:val="center"/>
          </w:tcPr>
          <w:p w:rsidR="00000000" w:rsidDel="00000000" w:rsidP="00000000" w:rsidRDefault="00000000" w:rsidRPr="00000000" w14:paraId="0000001D">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Logiciel minimum</w:t>
            </w:r>
          </w:p>
        </w:tc>
        <w:tc>
          <w:tcPr>
            <w:vAlign w:val="center"/>
          </w:tcPr>
          <w:p w:rsidR="00000000" w:rsidDel="00000000" w:rsidP="00000000" w:rsidRDefault="00000000" w:rsidRPr="00000000" w14:paraId="0000001E">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Supprimer les logiciels, jeux et versions d'essai inutilisés</w:t>
            </w:r>
          </w:p>
        </w:tc>
        <w:tc>
          <w:tcPr>
            <w:vAlign w:val="center"/>
          </w:tcPr>
          <w:p w:rsidR="00000000" w:rsidDel="00000000" w:rsidP="00000000" w:rsidRDefault="00000000" w:rsidRPr="00000000" w14:paraId="0000001F">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Exécutez des scripts d'inventaire ou utilisez PowerShell/GPO</w:t>
            </w:r>
          </w:p>
        </w:tc>
      </w:tr>
      <w:tr>
        <w:trPr>
          <w:cantSplit w:val="0"/>
          <w:trHeight w:val="770" w:hRule="atLeast"/>
          <w:tblHeader w:val="0"/>
        </w:trPr>
        <w:tc>
          <w:tcPr>
            <w:vAlign w:val="center"/>
          </w:tcPr>
          <w:p w:rsidR="00000000" w:rsidDel="00000000" w:rsidP="00000000" w:rsidRDefault="00000000" w:rsidRPr="00000000" w14:paraId="00000020">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Compte administrateur</w:t>
            </w:r>
          </w:p>
        </w:tc>
        <w:tc>
          <w:tcPr>
            <w:vAlign w:val="center"/>
          </w:tcPr>
          <w:p w:rsidR="00000000" w:rsidDel="00000000" w:rsidP="00000000" w:rsidRDefault="00000000" w:rsidRPr="00000000" w14:paraId="00000021">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Utiliser un compte non administrateur pour une utilisation quotidienne</w:t>
            </w:r>
          </w:p>
        </w:tc>
        <w:tc>
          <w:tcPr>
            <w:vAlign w:val="center"/>
          </w:tcPr>
          <w:p w:rsidR="00000000" w:rsidDel="00000000" w:rsidP="00000000" w:rsidRDefault="00000000" w:rsidRPr="00000000" w14:paraId="00000022">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Vérifier les autorisations du compte : whoami /groups</w:t>
            </w:r>
          </w:p>
        </w:tc>
      </w:tr>
      <w:tr>
        <w:trPr>
          <w:cantSplit w:val="0"/>
          <w:trHeight w:val="815" w:hRule="atLeast"/>
          <w:tblHeader w:val="0"/>
        </w:trPr>
        <w:tc>
          <w:tcPr>
            <w:vAlign w:val="center"/>
          </w:tcPr>
          <w:p w:rsidR="00000000" w:rsidDel="00000000" w:rsidP="00000000" w:rsidRDefault="00000000" w:rsidRPr="00000000" w14:paraId="00000023">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Pare-feu</w:t>
            </w:r>
          </w:p>
        </w:tc>
        <w:tc>
          <w:tcPr>
            <w:vAlign w:val="center"/>
          </w:tcPr>
          <w:p w:rsidR="00000000" w:rsidDel="00000000" w:rsidP="00000000" w:rsidRDefault="00000000" w:rsidRPr="00000000" w14:paraId="00000024">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Activer le pare-feu basé sur l'hôte</w:t>
            </w:r>
          </w:p>
        </w:tc>
        <w:tc>
          <w:tcPr>
            <w:vAlign w:val="center"/>
          </w:tcPr>
          <w:p w:rsidR="00000000" w:rsidDel="00000000" w:rsidP="00000000" w:rsidRDefault="00000000" w:rsidRPr="00000000" w14:paraId="00000025">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Windows : Activé via GPO ou Paramètres macOS : Préférences Système → Pare-feu</w:t>
            </w:r>
          </w:p>
        </w:tc>
      </w:tr>
      <w:tr>
        <w:trPr>
          <w:cantSplit w:val="0"/>
          <w:trHeight w:val="770" w:hRule="atLeast"/>
          <w:tblHeader w:val="0"/>
        </w:trPr>
        <w:tc>
          <w:tcPr>
            <w:vAlign w:val="center"/>
          </w:tcPr>
          <w:p w:rsidR="00000000" w:rsidDel="00000000" w:rsidP="00000000" w:rsidRDefault="00000000" w:rsidRPr="00000000" w14:paraId="00000026">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Cryptage du disque</w:t>
            </w:r>
          </w:p>
        </w:tc>
        <w:tc>
          <w:tcPr>
            <w:vAlign w:val="center"/>
          </w:tcPr>
          <w:p w:rsidR="00000000" w:rsidDel="00000000" w:rsidP="00000000" w:rsidRDefault="00000000" w:rsidRPr="00000000" w14:paraId="00000027">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Obligatoire (BitLocker/FileVault)</w:t>
            </w:r>
          </w:p>
        </w:tc>
        <w:tc>
          <w:tcPr>
            <w:vAlign w:val="center"/>
          </w:tcPr>
          <w:p w:rsidR="00000000" w:rsidDel="00000000" w:rsidP="00000000" w:rsidRDefault="00000000" w:rsidRPr="00000000" w14:paraId="00000028">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Confirmez que le cryptage est activé et que les clés sont stockées en toute sécurité</w:t>
            </w:r>
          </w:p>
        </w:tc>
      </w:tr>
      <w:tr>
        <w:trPr>
          <w:cantSplit w:val="0"/>
          <w:trHeight w:val="500" w:hRule="atLeast"/>
          <w:tblHeader w:val="0"/>
        </w:trPr>
        <w:tc>
          <w:tcPr>
            <w:vAlign w:val="center"/>
          </w:tcPr>
          <w:p w:rsidR="00000000" w:rsidDel="00000000" w:rsidP="00000000" w:rsidRDefault="00000000" w:rsidRPr="00000000" w14:paraId="00000029">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Éléments de démarrage</w:t>
            </w:r>
          </w:p>
        </w:tc>
        <w:tc>
          <w:tcPr>
            <w:vAlign w:val="center"/>
          </w:tcPr>
          <w:p w:rsidR="00000000" w:rsidDel="00000000" w:rsidP="00000000" w:rsidRDefault="00000000" w:rsidRPr="00000000" w14:paraId="0000002A">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Auditer les processus de démarrage</w:t>
            </w:r>
          </w:p>
        </w:tc>
        <w:tc>
          <w:tcPr>
            <w:vAlign w:val="center"/>
          </w:tcPr>
          <w:p w:rsidR="00000000" w:rsidDel="00000000" w:rsidP="00000000" w:rsidRDefault="00000000" w:rsidRPr="00000000" w14:paraId="0000002B">
            <w:pPr>
              <w:widowControl w:val="0"/>
              <w:spacing w:after="0" w:line="276"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Utiliser msconfig ou Activity Monitor (macOS)</w:t>
            </w:r>
          </w:p>
        </w:tc>
      </w:tr>
    </w:tbl>
    <w:p w:rsidR="00000000" w:rsidDel="00000000" w:rsidP="00000000" w:rsidRDefault="00000000" w:rsidRPr="00000000" w14:paraId="0000002C">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2D">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2E">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2F">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30">
      <w:pPr>
        <w:widowControl w:val="0"/>
        <w:spacing w:after="0" w:line="276" w:lineRule="auto"/>
        <w:jc w:val="left"/>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31">
      <w:pPr>
        <w:widowControl w:val="0"/>
        <w:spacing w:after="0" w:line="276" w:lineRule="auto"/>
        <w:jc w:val="left"/>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32">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33">
      <w:pPr>
        <w:widowControl w:val="0"/>
        <w:spacing w:after="0" w:line="276" w:lineRule="auto"/>
        <w:jc w:val="center"/>
        <w:rPr>
          <w:rFonts w:ascii="Montserrat" w:cs="Montserrat" w:eastAsia="Montserrat" w:hAnsi="Montserrat"/>
          <w:b w:val="1"/>
          <w:color w:val="366091"/>
          <w:sz w:val="28"/>
          <w:szCs w:val="28"/>
        </w:rPr>
      </w:pPr>
      <w:r w:rsidDel="00000000" w:rsidR="00000000" w:rsidRPr="00000000">
        <w:rPr>
          <w:rtl w:val="0"/>
        </w:rPr>
      </w:r>
    </w:p>
    <w:p w:rsidR="00000000" w:rsidDel="00000000" w:rsidP="00000000" w:rsidRDefault="00000000" w:rsidRPr="00000000" w14:paraId="00000034">
      <w:pPr>
        <w:pStyle w:val="Heading1"/>
        <w:keepNext w:val="0"/>
        <w:keepLines w:val="0"/>
        <w:spacing w:after="80" w:before="280" w:lineRule="auto"/>
        <w:jc w:val="center"/>
        <w:rPr/>
      </w:pPr>
      <w:bookmarkStart w:colFirst="0" w:colLast="0" w:name="_heading=h.x62ysmrubxa6" w:id="2"/>
      <w:bookmarkEnd w:id="2"/>
      <w:r w:rsidDel="00000000" w:rsidR="00000000" w:rsidRPr="00000000">
        <w:rPr>
          <w:rtl w:val="0"/>
        </w:rPr>
      </w:r>
    </w:p>
    <w:p w:rsidR="00000000" w:rsidDel="00000000" w:rsidP="00000000" w:rsidRDefault="00000000" w:rsidRPr="00000000" w14:paraId="00000035">
      <w:pPr>
        <w:pStyle w:val="Heading1"/>
        <w:keepNext w:val="0"/>
        <w:keepLines w:val="0"/>
        <w:spacing w:after="80" w:before="280" w:lineRule="auto"/>
        <w:jc w:val="center"/>
        <w:rPr/>
      </w:pPr>
      <w:bookmarkStart w:colFirst="0" w:colLast="0" w:name="_heading=h.kwwnp73ci8r8" w:id="3"/>
      <w:bookmarkEnd w:id="3"/>
      <w:r w:rsidDel="00000000" w:rsidR="00000000" w:rsidRPr="00000000">
        <w:rPr>
          <w:rtl w:val="0"/>
        </w:rPr>
        <w:t xml:space="preserve">LES KITS COMPLETS INCLUENT AUSSI : </w:t>
      </w:r>
    </w:p>
    <w:p w:rsidR="00000000" w:rsidDel="00000000" w:rsidP="00000000" w:rsidRDefault="00000000" w:rsidRPr="00000000" w14:paraId="00000036">
      <w:pPr>
        <w:pStyle w:val="Heading1"/>
        <w:widowControl w:val="0"/>
        <w:spacing w:after="0" w:line="276" w:lineRule="auto"/>
        <w:jc w:val="center"/>
        <w:rPr/>
      </w:pPr>
      <w:bookmarkStart w:colFirst="0" w:colLast="0" w:name="_heading=h.ninva8ecd4mt" w:id="4"/>
      <w:bookmarkEnd w:id="4"/>
      <w:r w:rsidDel="00000000" w:rsidR="00000000" w:rsidRPr="00000000">
        <w:rPr>
          <w:rtl w:val="0"/>
        </w:rPr>
        <w:t xml:space="preserve">SECTION 2 : CONFIGURATION DU CLOUD (O365 / Google Workspace)</w:t>
      </w:r>
    </w:p>
    <w:p w:rsidR="00000000" w:rsidDel="00000000" w:rsidP="00000000" w:rsidRDefault="00000000" w:rsidRPr="00000000" w14:paraId="00000037">
      <w:pPr>
        <w:pStyle w:val="Heading1"/>
        <w:widowControl w:val="0"/>
        <w:spacing w:after="0" w:line="276" w:lineRule="auto"/>
        <w:jc w:val="center"/>
        <w:rPr/>
      </w:pPr>
      <w:bookmarkStart w:colFirst="0" w:colLast="0" w:name="_heading=h.p3pe7nivib07" w:id="5"/>
      <w:bookmarkEnd w:id="5"/>
      <w:r w:rsidDel="00000000" w:rsidR="00000000" w:rsidRPr="00000000">
        <w:rPr>
          <w:rtl w:val="0"/>
        </w:rPr>
        <w:t xml:space="preserve">SECTION 3 : GESTION DES APPAREILS MOBILES (MDM)</w:t>
      </w:r>
    </w:p>
    <w:p w:rsidR="00000000" w:rsidDel="00000000" w:rsidP="00000000" w:rsidRDefault="00000000" w:rsidRPr="00000000" w14:paraId="00000038">
      <w:pPr>
        <w:pStyle w:val="Heading1"/>
        <w:jc w:val="center"/>
        <w:rPr/>
      </w:pPr>
      <w:bookmarkStart w:colFirst="0" w:colLast="0" w:name="_heading=h.q0w1xl3cxqty" w:id="6"/>
      <w:bookmarkEnd w:id="6"/>
      <w:r w:rsidDel="00000000" w:rsidR="00000000" w:rsidRPr="00000000">
        <w:rPr>
          <w:rtl w:val="0"/>
        </w:rPr>
        <w:t xml:space="preserve">SECTION 4 : SÉCURITÉ DU COMPTE UTILISATEUR</w:t>
      </w:r>
    </w:p>
    <w:p w:rsidR="00000000" w:rsidDel="00000000" w:rsidP="00000000" w:rsidRDefault="00000000" w:rsidRPr="00000000" w14:paraId="00000039">
      <w:pPr>
        <w:pStyle w:val="Heading1"/>
        <w:jc w:val="center"/>
        <w:rPr>
          <w:rFonts w:ascii="Calibri" w:cs="Calibri" w:eastAsia="Calibri" w:hAnsi="Calibri"/>
          <w:b w:val="1"/>
          <w:color w:val="366091"/>
          <w:sz w:val="28"/>
          <w:szCs w:val="28"/>
        </w:rPr>
      </w:pPr>
      <w:bookmarkStart w:colFirst="0" w:colLast="0" w:name="_heading=h.h79dqn685ysl" w:id="7"/>
      <w:bookmarkEnd w:id="7"/>
      <w:r w:rsidDel="00000000" w:rsidR="00000000" w:rsidRPr="00000000">
        <w:rPr>
          <w:rtl w:val="0"/>
        </w:rPr>
        <w:t xml:space="preserve">SECTION 5 : RENFORCEMENT DU RÉSEAU ET DES TERMINAUX</w:t>
      </w:r>
      <w:r w:rsidDel="00000000" w:rsidR="00000000" w:rsidRPr="00000000">
        <w:rPr>
          <w:rtl w:val="0"/>
        </w:rPr>
      </w:r>
    </w:p>
    <w:p w:rsidR="00000000" w:rsidDel="00000000" w:rsidP="00000000" w:rsidRDefault="00000000" w:rsidRPr="00000000" w14:paraId="0000003A">
      <w:pPr>
        <w:pStyle w:val="Heading1"/>
        <w:keepNext w:val="0"/>
        <w:keepLines w:val="0"/>
        <w:spacing w:after="80" w:before="360" w:lineRule="auto"/>
        <w:jc w:val="center"/>
        <w:rPr/>
      </w:pPr>
      <w:bookmarkStart w:colFirst="0" w:colLast="0" w:name="_heading=h.un5y0rneoiag" w:id="8"/>
      <w:bookmarkEnd w:id="8"/>
      <w:r w:rsidDel="00000000" w:rsidR="00000000" w:rsidRPr="00000000">
        <w:rPr>
          <w:rtl w:val="0"/>
        </w:rPr>
        <w:t xml:space="preserve">SECTION 6 : UTILISATION DU MODÈLE DE DOCUMENT</w:t>
      </w:r>
    </w:p>
    <w:p w:rsidR="00000000" w:rsidDel="00000000" w:rsidP="00000000" w:rsidRDefault="00000000" w:rsidRPr="00000000" w14:paraId="0000003B">
      <w:pPr>
        <w:pStyle w:val="Heading1"/>
        <w:jc w:val="center"/>
        <w:rPr/>
      </w:pPr>
      <w:bookmarkStart w:colFirst="0" w:colLast="0" w:name="_heading=h.87wgwpo2zkmb" w:id="9"/>
      <w:bookmarkEnd w:id="9"/>
      <w:r w:rsidDel="00000000" w:rsidR="00000000" w:rsidRPr="00000000">
        <w:rPr>
          <w:rtl w:val="0"/>
        </w:rPr>
        <w:t xml:space="preserve">Bonus : idées d'automatisation</w:t>
      </w:r>
    </w:p>
    <w:p w:rsidR="00000000" w:rsidDel="00000000" w:rsidP="00000000" w:rsidRDefault="00000000" w:rsidRPr="00000000" w14:paraId="0000003C">
      <w:pPr>
        <w:rPr/>
      </w:pPr>
      <w:r w:rsidDel="00000000" w:rsidR="00000000" w:rsidRPr="00000000">
        <w:rPr>
          <w:rtl w:val="0"/>
        </w:rPr>
      </w:r>
    </w:p>
    <w:sectPr>
      <w:headerReference r:id="rId8" w:type="default"/>
      <w:pgSz w:h="15840" w:w="12240" w:orient="portrait"/>
      <w:pgMar w:bottom="1440" w:top="1440" w:left="1800" w:right="180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D">
    <w:pPr>
      <w:rPr/>
    </w:pPr>
    <w:r w:rsidDel="00000000" w:rsidR="00000000" w:rsidRPr="00000000">
      <w:rPr/>
      <w:pict>
        <v:shape id="PowerPlusWaterMarkObject1" style="position:absolute;width:461.6753653031093pt;height:149.26489364206788pt;rotation:315;z-index:-503316481;mso-position-horizontal-relative:margin;mso-position-horizontal:center;mso-position-vertical-relative:margin;mso-position-vertical:center;" fillcolor="#e8eaed" stroked="f" type="#_x0000_t136">
          <v:fill angle="0" opacity="65536f"/>
          <v:textpath fitshape="t" string="Preview" style="font-family:&amp;quot;Arial&amp;quot;;font-size:1pt;"/>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mbria" w:cs="Cambria" w:eastAsia="Cambria" w:hAnsi="Cambria"/>
        <w:sz w:val="22"/>
        <w:szCs w:val="22"/>
        <w:lang w:val="fr"/>
      </w:rPr>
    </w:rPrDefault>
    <w:pPrDefault>
      <w:pPr>
        <w:spacing w:after="200"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0" w:before="480" w:lineRule="auto"/>
    </w:pPr>
    <w:rPr>
      <w:rFonts w:ascii="Calibri" w:cs="Calibri" w:eastAsia="Calibri" w:hAnsi="Calibri"/>
      <w:b w:val="1"/>
      <w:color w:val="366091"/>
      <w:sz w:val="28"/>
      <w:szCs w:val="28"/>
    </w:rPr>
  </w:style>
  <w:style w:type="paragraph" w:styleId="Heading2">
    <w:name w:val="heading 2"/>
    <w:basedOn w:val="Normal"/>
    <w:next w:val="Normal"/>
    <w:pPr>
      <w:keepNext w:val="1"/>
      <w:keepLines w:val="1"/>
      <w:spacing w:after="0" w:before="200" w:lineRule="auto"/>
    </w:pPr>
    <w:rPr>
      <w:rFonts w:ascii="Calibri" w:cs="Calibri" w:eastAsia="Calibri" w:hAnsi="Calibri"/>
      <w:b w:val="1"/>
      <w:color w:val="4f81bd"/>
      <w:sz w:val="26"/>
      <w:szCs w:val="26"/>
    </w:rPr>
  </w:style>
  <w:style w:type="paragraph" w:styleId="Heading3">
    <w:name w:val="heading 3"/>
    <w:basedOn w:val="Normal"/>
    <w:next w:val="Normal"/>
    <w:pPr>
      <w:keepNext w:val="1"/>
      <w:keepLines w:val="1"/>
      <w:spacing w:after="0" w:before="200" w:lineRule="auto"/>
    </w:pPr>
    <w:rPr>
      <w:rFonts w:ascii="Calibri" w:cs="Calibri" w:eastAsia="Calibri" w:hAnsi="Calibri"/>
      <w:b w:val="1"/>
      <w:color w:val="4f81bd"/>
    </w:rPr>
  </w:style>
  <w:style w:type="paragraph" w:styleId="Heading4">
    <w:name w:val="heading 4"/>
    <w:basedOn w:val="Normal"/>
    <w:next w:val="Normal"/>
    <w:pPr>
      <w:keepNext w:val="1"/>
      <w:keepLines w:val="1"/>
      <w:spacing w:after="0" w:before="200" w:lineRule="auto"/>
    </w:pPr>
    <w:rPr>
      <w:rFonts w:ascii="Calibri" w:cs="Calibri" w:eastAsia="Calibri" w:hAnsi="Calibri"/>
      <w:b w:val="1"/>
      <w:i w:val="1"/>
      <w:color w:val="4f81bd"/>
    </w:rPr>
  </w:style>
  <w:style w:type="paragraph" w:styleId="Heading5">
    <w:name w:val="heading 5"/>
    <w:basedOn w:val="Normal"/>
    <w:next w:val="Normal"/>
    <w:pPr>
      <w:keepNext w:val="1"/>
      <w:keepLines w:val="1"/>
      <w:spacing w:after="0" w:before="200" w:lineRule="auto"/>
    </w:pPr>
    <w:rPr>
      <w:rFonts w:ascii="Calibri" w:cs="Calibri" w:eastAsia="Calibri" w:hAnsi="Calibri"/>
      <w:color w:val="243f61"/>
    </w:rPr>
  </w:style>
  <w:style w:type="paragraph" w:styleId="Heading6">
    <w:name w:val="heading 6"/>
    <w:basedOn w:val="Normal"/>
    <w:next w:val="Normal"/>
    <w:pPr>
      <w:keepNext w:val="1"/>
      <w:keepLines w:val="1"/>
      <w:spacing w:after="0" w:before="200" w:lineRule="auto"/>
    </w:pPr>
    <w:rPr>
      <w:rFonts w:ascii="Calibri" w:cs="Calibri" w:eastAsia="Calibri" w:hAnsi="Calibri"/>
      <w:i w:val="1"/>
      <w:color w:val="243f61"/>
    </w:rPr>
  </w:style>
  <w:style w:type="paragraph" w:styleId="Title">
    <w:name w:val="Title"/>
    <w:basedOn w:val="Normal"/>
    <w:next w:val="Normal"/>
    <w:pPr>
      <w:pBdr>
        <w:bottom w:color="4f81bd" w:space="4" w:sz="8" w:val="single"/>
      </w:pBdr>
      <w:spacing w:after="300" w:line="240" w:lineRule="auto"/>
    </w:pPr>
    <w:rPr>
      <w:rFonts w:ascii="Calibri" w:cs="Calibri" w:eastAsia="Calibri" w:hAnsi="Calibri"/>
      <w:color w:val="17365d"/>
      <w:sz w:val="52"/>
      <w:szCs w:val="5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rPr>
      <w:rFonts w:ascii="Calibri" w:cs="Calibri" w:eastAsia="Calibri" w:hAnsi="Calibri"/>
      <w:i w:val="1"/>
      <w:color w:val="4f81bd"/>
      <w:sz w:val="24"/>
      <w:szCs w:val="24"/>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FSk+rcn5PnJ4IeVjs+2Rs6kkSA==">CgMxLjAyDmguMzBhdnl2M2pha3d0Mg5oLjJuMnNqdHMxZnBuMDIOaC54NjJ5c21ydWJ4YTYyDmgua3d3bnA3M2NpOHI4Mg5oLm5pbnZhOGVjZDRtdDIOaC5wM3BlN25pdmliMDcyDmgucTB3MXhsM2N4cXR5Mg5oLmg3OWRxbjY4NXlzbDIOaC51bjV5MHJuZW9pYWcyDmguODd3Z3dwbzJ6a21iOAByITFISnI4X3ZRYVlHeU13enZGaEZibkVtRkhqQU9HTVFPcw==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